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71E5" w14:textId="137D4967" w:rsidR="00EB4085" w:rsidRPr="007E6C09" w:rsidRDefault="00EB4085" w:rsidP="007E6C09">
      <w:pPr>
        <w:jc w:val="both"/>
        <w:rPr>
          <w:rFonts w:ascii="Arial" w:eastAsia="Times New Roman" w:hAnsi="Arial" w:cs="Arial"/>
          <w:color w:val="37474F"/>
          <w:shd w:val="clear" w:color="auto" w:fill="FFFFFF"/>
          <w:lang w:eastAsia="pl-PL"/>
        </w:rPr>
      </w:pP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Przedmiotowa kontrola była prowadzona w zakresie 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g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ospodarowania środkami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publicznymi, 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prawidłowości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ab/>
        <w:t>ewidencjonowania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ab/>
        <w:t>środków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ab/>
        <w:t>trwałych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ab/>
        <w:t xml:space="preserve"> oraz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wartości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ab/>
        <w:t xml:space="preserve">niematerialnych i prawnych, 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prawidłowości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udzielania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zamówień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publicznych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w trybie ustawy Prawo zamówień publicznych i dokonywania zakupów poniżej 30 000 euro netto, Zakładowego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Funduszu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Świadczeń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Socjalnych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- prawidłowoś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ci 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dokonywania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odpisów,</w:t>
      </w:r>
      <w:r w:rsid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naliczania i wypłacania świadczeń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oraz 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Funkcjonowani</w:t>
      </w:r>
      <w:r w:rsidR="007E6C09"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a</w:t>
      </w:r>
      <w:r w:rsidRPr="007E6C09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 xml:space="preserve"> systemu kontroli zarządczej w obszarze środowisko wewnętrzne.</w:t>
      </w:r>
    </w:p>
    <w:p w14:paraId="078596AF" w14:textId="08AF3F01" w:rsidR="00EB4085" w:rsidRPr="00EB4085" w:rsidRDefault="00EB4085" w:rsidP="007E6C09">
      <w:pPr>
        <w:tabs>
          <w:tab w:val="left" w:pos="1774"/>
        </w:tabs>
        <w:spacing w:before="4"/>
        <w:ind w:left="1491"/>
        <w:jc w:val="both"/>
        <w:rPr>
          <w:sz w:val="20"/>
        </w:rPr>
      </w:pPr>
    </w:p>
    <w:p w14:paraId="24B9005B" w14:textId="08D9D307" w:rsidR="00EB4085" w:rsidRPr="00EB4085" w:rsidRDefault="00EB4085" w:rsidP="007E6C0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B4085">
        <w:rPr>
          <w:rFonts w:ascii="Arial" w:eastAsia="Times New Roman" w:hAnsi="Arial" w:cs="Arial"/>
          <w:color w:val="37474F"/>
          <w:shd w:val="clear" w:color="auto" w:fill="FFFFFF"/>
          <w:lang w:eastAsia="pl-PL"/>
        </w:rPr>
        <w:t>– dane nie udostępnione na podstawie art. 1 ust. 2 oraz art. 5 ust. 1 i 2 ustawy z dnia 6 września 2001 r. o dostępie do informacji publicznej (tekst jednolity Dz. U. z 2019, poz. 1429 ze zm.)</w:t>
      </w:r>
    </w:p>
    <w:p w14:paraId="5F4F7F91" w14:textId="77777777" w:rsidR="00EB4085" w:rsidRDefault="00EB4085" w:rsidP="007E6C09">
      <w:pPr>
        <w:jc w:val="both"/>
      </w:pPr>
    </w:p>
    <w:sectPr w:rsidR="00EB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60714"/>
    <w:multiLevelType w:val="multilevel"/>
    <w:tmpl w:val="1F6A8A62"/>
    <w:lvl w:ilvl="0">
      <w:start w:val="1"/>
      <w:numFmt w:val="decimal"/>
      <w:lvlText w:val="%1."/>
      <w:lvlJc w:val="left"/>
      <w:pPr>
        <w:ind w:left="1782" w:hanging="284"/>
      </w:pPr>
      <w:rPr>
        <w:rFonts w:ascii="Arial" w:eastAsia="Arial" w:hAnsi="Arial" w:cs="Arial" w:hint="default"/>
        <w:b/>
        <w:bCs/>
        <w:color w:val="2F2F2F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919" w:hanging="425"/>
      </w:pPr>
      <w:rPr>
        <w:rFonts w:ascii="Arial" w:eastAsia="Arial" w:hAnsi="Arial" w:cs="Arial" w:hint="default"/>
        <w:b/>
        <w:bCs/>
        <w:color w:val="2F2F2F"/>
        <w:spacing w:val="-1"/>
        <w:w w:val="101"/>
        <w:sz w:val="20"/>
        <w:szCs w:val="20"/>
      </w:rPr>
    </w:lvl>
    <w:lvl w:ilvl="2">
      <w:numFmt w:val="bullet"/>
      <w:lvlText w:val="•"/>
      <w:lvlJc w:val="left"/>
      <w:pPr>
        <w:ind w:left="2991" w:hanging="425"/>
      </w:pPr>
    </w:lvl>
    <w:lvl w:ilvl="3">
      <w:numFmt w:val="bullet"/>
      <w:lvlText w:val="•"/>
      <w:lvlJc w:val="left"/>
      <w:pPr>
        <w:ind w:left="4062" w:hanging="425"/>
      </w:pPr>
    </w:lvl>
    <w:lvl w:ilvl="4">
      <w:numFmt w:val="bullet"/>
      <w:lvlText w:val="•"/>
      <w:lvlJc w:val="left"/>
      <w:pPr>
        <w:ind w:left="5133" w:hanging="425"/>
      </w:pPr>
    </w:lvl>
    <w:lvl w:ilvl="5">
      <w:numFmt w:val="bullet"/>
      <w:lvlText w:val="•"/>
      <w:lvlJc w:val="left"/>
      <w:pPr>
        <w:ind w:left="6204" w:hanging="425"/>
      </w:pPr>
    </w:lvl>
    <w:lvl w:ilvl="6">
      <w:numFmt w:val="bullet"/>
      <w:lvlText w:val="•"/>
      <w:lvlJc w:val="left"/>
      <w:pPr>
        <w:ind w:left="7275" w:hanging="425"/>
      </w:pPr>
    </w:lvl>
    <w:lvl w:ilvl="7">
      <w:numFmt w:val="bullet"/>
      <w:lvlText w:val="•"/>
      <w:lvlJc w:val="left"/>
      <w:pPr>
        <w:ind w:left="8346" w:hanging="425"/>
      </w:pPr>
    </w:lvl>
    <w:lvl w:ilvl="8">
      <w:numFmt w:val="bullet"/>
      <w:lvlText w:val="•"/>
      <w:lvlJc w:val="left"/>
      <w:pPr>
        <w:ind w:left="9417" w:hanging="425"/>
      </w:pPr>
    </w:lvl>
  </w:abstractNum>
  <w:abstractNum w:abstractNumId="1" w15:restartNumberingAfterBreak="0">
    <w:nsid w:val="6ED52FBA"/>
    <w:multiLevelType w:val="hybridMultilevel"/>
    <w:tmpl w:val="4EF450DC"/>
    <w:lvl w:ilvl="0" w:tplc="6A5231F6">
      <w:start w:val="1"/>
      <w:numFmt w:val="decimal"/>
      <w:lvlText w:val="%1."/>
      <w:lvlJc w:val="left"/>
      <w:pPr>
        <w:ind w:left="1781" w:hanging="290"/>
      </w:pPr>
      <w:rPr>
        <w:rFonts w:ascii="Arial" w:eastAsia="Arial" w:hAnsi="Arial" w:cs="Arial" w:hint="default"/>
        <w:color w:val="2F2F2F"/>
        <w:spacing w:val="-1"/>
        <w:w w:val="103"/>
        <w:sz w:val="20"/>
        <w:szCs w:val="20"/>
      </w:rPr>
    </w:lvl>
    <w:lvl w:ilvl="1" w:tplc="FE3AB4E4">
      <w:numFmt w:val="bullet"/>
      <w:lvlText w:val="•"/>
      <w:lvlJc w:val="left"/>
      <w:pPr>
        <w:ind w:left="2758" w:hanging="290"/>
      </w:pPr>
      <w:rPr>
        <w:rFonts w:hint="default"/>
      </w:rPr>
    </w:lvl>
    <w:lvl w:ilvl="2" w:tplc="24543522">
      <w:numFmt w:val="bullet"/>
      <w:lvlText w:val="•"/>
      <w:lvlJc w:val="left"/>
      <w:pPr>
        <w:ind w:left="3736" w:hanging="290"/>
      </w:pPr>
      <w:rPr>
        <w:rFonts w:hint="default"/>
      </w:rPr>
    </w:lvl>
    <w:lvl w:ilvl="3" w:tplc="E28468C0">
      <w:numFmt w:val="bullet"/>
      <w:lvlText w:val="•"/>
      <w:lvlJc w:val="left"/>
      <w:pPr>
        <w:ind w:left="4714" w:hanging="290"/>
      </w:pPr>
      <w:rPr>
        <w:rFonts w:hint="default"/>
      </w:rPr>
    </w:lvl>
    <w:lvl w:ilvl="4" w:tplc="24ECCE14">
      <w:numFmt w:val="bullet"/>
      <w:lvlText w:val="•"/>
      <w:lvlJc w:val="left"/>
      <w:pPr>
        <w:ind w:left="5692" w:hanging="290"/>
      </w:pPr>
      <w:rPr>
        <w:rFonts w:hint="default"/>
      </w:rPr>
    </w:lvl>
    <w:lvl w:ilvl="5" w:tplc="6C14D642">
      <w:numFmt w:val="bullet"/>
      <w:lvlText w:val="•"/>
      <w:lvlJc w:val="left"/>
      <w:pPr>
        <w:ind w:left="6670" w:hanging="290"/>
      </w:pPr>
      <w:rPr>
        <w:rFonts w:hint="default"/>
      </w:rPr>
    </w:lvl>
    <w:lvl w:ilvl="6" w:tplc="2494B26E">
      <w:numFmt w:val="bullet"/>
      <w:lvlText w:val="•"/>
      <w:lvlJc w:val="left"/>
      <w:pPr>
        <w:ind w:left="7648" w:hanging="290"/>
      </w:pPr>
      <w:rPr>
        <w:rFonts w:hint="default"/>
      </w:rPr>
    </w:lvl>
    <w:lvl w:ilvl="7" w:tplc="9D3C9032">
      <w:numFmt w:val="bullet"/>
      <w:lvlText w:val="•"/>
      <w:lvlJc w:val="left"/>
      <w:pPr>
        <w:ind w:left="8626" w:hanging="290"/>
      </w:pPr>
      <w:rPr>
        <w:rFonts w:hint="default"/>
      </w:rPr>
    </w:lvl>
    <w:lvl w:ilvl="8" w:tplc="5980FD5C">
      <w:numFmt w:val="bullet"/>
      <w:lvlText w:val="•"/>
      <w:lvlJc w:val="left"/>
      <w:pPr>
        <w:ind w:left="9604" w:hanging="2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85"/>
    <w:rsid w:val="00167596"/>
    <w:rsid w:val="007E6C09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7F78"/>
  <w15:chartTrackingRefBased/>
  <w15:docId w15:val="{77733566-711A-CA4F-9CFA-1F4B4CF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semiHidden/>
    <w:unhideWhenUsed/>
    <w:qFormat/>
    <w:rsid w:val="00EB4085"/>
    <w:pPr>
      <w:widowControl w:val="0"/>
      <w:autoSpaceDE w:val="0"/>
      <w:autoSpaceDN w:val="0"/>
      <w:ind w:left="1577"/>
      <w:jc w:val="both"/>
      <w:outlineLvl w:val="3"/>
    </w:pPr>
    <w:rPr>
      <w:rFonts w:ascii="Arial" w:eastAsia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B4085"/>
    <w:rPr>
      <w:i/>
      <w:iCs/>
    </w:rPr>
  </w:style>
  <w:style w:type="paragraph" w:styleId="Akapitzlist">
    <w:name w:val="List Paragraph"/>
    <w:basedOn w:val="Normalny"/>
    <w:uiPriority w:val="1"/>
    <w:qFormat/>
    <w:rsid w:val="00EB4085"/>
    <w:pPr>
      <w:widowControl w:val="0"/>
      <w:autoSpaceDE w:val="0"/>
      <w:autoSpaceDN w:val="0"/>
      <w:ind w:left="1577" w:hanging="341"/>
    </w:pPr>
    <w:rPr>
      <w:rFonts w:ascii="Arial" w:eastAsia="Arial" w:hAnsi="Arial" w:cs="Arial"/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08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2020-11-23T14:09:00Z</dcterms:created>
  <dcterms:modified xsi:type="dcterms:W3CDTF">2020-11-23T14:09:00Z</dcterms:modified>
</cp:coreProperties>
</file>